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  <w:spacing w:after="0" w:afterAutospacing="0" w:line="17" w:lineRule="atLeast"/>
        <w:rPr>
          <w:rFonts w:ascii="Tinos" w:hAnsi="Tinos" w:eastAsia="Tinos" w:cs="Tinos"/>
          <w:b/>
          <w:bCs/>
          <w:sz w:val="28"/>
          <w:szCs w:val="28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4211" cy="72920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26639214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 rot="0" flipH="0" flipV="0">
                          <a:off x="0" y="0"/>
                          <a:ext cx="1984210" cy="7292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156.24pt;height:57.42pt;mso-wrap-distance-left:0.00pt;mso-wrap-distance-top:0.00pt;mso-wrap-distance-right:0.00pt;mso-wrap-distance-bottom:0.00pt;rotation:0;z-index:1;" stroked="false">
                <v:imagedata r:id="rId8" o:title=""/>
                <o:lock v:ext="edit" rotation="t"/>
              </v:shape>
            </w:pict>
          </mc:Fallback>
        </mc:AlternateContent>
      </w:r>
      <w:r/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</w:p>
    <w:p>
      <w:pPr>
        <w:jc w:val="center"/>
        <w:spacing w:after="0" w:afterAutospacing="0" w:line="17" w:lineRule="atLeast"/>
        <w:rPr>
          <w:rFonts w:ascii="Tinos" w:hAnsi="Tinos" w:eastAsia="Tinos" w:cs="Tinos"/>
          <w:b/>
          <w:bCs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</w:p>
    <w:p>
      <w:pPr>
        <w:jc w:val="center"/>
        <w:spacing w:after="0" w:afterAutospacing="0" w:line="17" w:lineRule="atLeast"/>
        <w:rPr>
          <w:rFonts w:ascii="Tinos" w:hAnsi="Tinos" w:eastAsia="Tinos" w:cs="Tinos"/>
          <w:b/>
          <w:bCs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</w:p>
    <w:p>
      <w:pPr>
        <w:jc w:val="center"/>
        <w:spacing w:after="0" w:afterAutospacing="0" w:line="17" w:lineRule="atLeast"/>
        <w:rPr>
          <w:rFonts w:ascii="Tinos" w:hAnsi="Tinos" w:eastAsia="Tinos" w:cs="Tinos"/>
          <w:b/>
          <w:bCs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sz w:val="28"/>
          <w:szCs w:val="28"/>
        </w:rPr>
        <w:t xml:space="preserve">Порядок уточнения площади зданий и сооружений </w:t>
      </w:r>
      <w:r>
        <w:rPr>
          <w:rFonts w:ascii="Tinos" w:hAnsi="Tinos" w:cs="Tinos"/>
          <w:b/>
          <w:bCs/>
          <w:sz w:val="28"/>
          <w:szCs w:val="28"/>
          <w:highlight w:val="none"/>
        </w:rPr>
      </w:r>
    </w:p>
    <w:p>
      <w:pPr>
        <w:jc w:val="center"/>
        <w:spacing w:after="0" w:afterAutospacing="0" w:line="17" w:lineRule="atLeast"/>
        <w:rPr>
          <w:rFonts w:ascii="Tinos" w:hAnsi="Tinos" w:cs="Tinos"/>
          <w:b/>
          <w:bCs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sz w:val="28"/>
          <w:szCs w:val="28"/>
        </w:rPr>
        <w:t xml:space="preserve">будет упрощен</w:t>
      </w:r>
      <w:r>
        <w:rPr>
          <w:rFonts w:ascii="Tinos" w:hAnsi="Tinos" w:eastAsia="Tinos" w:cs="Tinos"/>
          <w:b/>
          <w:bCs/>
          <w:sz w:val="28"/>
          <w:szCs w:val="28"/>
        </w:rPr>
      </w:r>
      <w:r/>
    </w:p>
    <w:p>
      <w:pPr>
        <w:jc w:val="center"/>
        <w:spacing w:after="0" w:afterAutospacing="0" w:line="17" w:lineRule="atLeast"/>
        <w:rPr>
          <w:rFonts w:ascii="Tinos" w:hAnsi="Tinos" w:cs="Tinos"/>
          <w:b/>
          <w:bCs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17" w:lineRule="atLeast"/>
        <w:shd w:val="clear" w:color="ffffff" w:fill="ffffff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В Государственную Думу внесен законопроект Росреестра, который позволит упростить порядок изменения в ЕГРН площади объектов. Речь идет о зданиях или сооружениях, учтённых еще во времена работы БТИ, площадь которых рассчитывалась по устаревшей методике.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shd w:val="clear" w:color="ffffff" w:fill="ffffff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Сегодня изменить в ЕГРН площадь здания, сооружения можно исключительно в результате реконструкции.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shd w:val="clear" w:color="ffffff" w:fill="ffffff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«</w:t>
      </w:r>
      <w:r>
        <w:rPr>
          <w:rFonts w:ascii="Tinos" w:hAnsi="Tinos" w:eastAsia="Tinos" w:cs="Tinos"/>
          <w:i/>
          <w:iCs/>
          <w:color w:val="000000"/>
          <w:sz w:val="28"/>
          <w:szCs w:val="28"/>
          <w:highlight w:val="white"/>
        </w:rPr>
        <w:t xml:space="preserve">Законопроект разработан в соответствии с многочисленными запросами предпринимательского сообщества о необходимости упрощения порядка изменения площади ранее учтенных зданий и сооружений. Предлагаемая мера позволит без лишних процедур актуализировать в ЕГР</w:t>
      </w:r>
      <w:r>
        <w:rPr>
          <w:rFonts w:ascii="Tinos" w:hAnsi="Tinos" w:eastAsia="Tinos" w:cs="Tinos"/>
          <w:i/>
          <w:iCs/>
          <w:color w:val="000000"/>
          <w:sz w:val="28"/>
          <w:szCs w:val="28"/>
          <w:highlight w:val="white"/>
        </w:rPr>
        <w:t xml:space="preserve">Н площадь объектов, государственный технический учет которых был осуществлен до 1 января 2013 года. Уточненные сведения о площади будут вноситься в ЕГРН в результате кадастрового учета на основании технического плана. При этом не понадобится предоставлять </w:t>
      </w:r>
      <w:r>
        <w:rPr>
          <w:rFonts w:ascii="Tinos" w:hAnsi="Tinos" w:eastAsia="Tinos" w:cs="Tinos"/>
          <w:i/>
          <w:iCs/>
          <w:color w:val="000000"/>
          <w:sz w:val="28"/>
          <w:szCs w:val="28"/>
          <w:highlight w:val="white"/>
        </w:rPr>
        <w:t xml:space="preserve">разрешения на реконструкцию и ввод объекта в эксплуатацию либо доказательства того, что реконструкция не проводилась. Достаточно будет совпадения поэтажного плана ранее учтенного объекта, которым располагает Росреестр, с техническим планом, подготовленным </w:t>
      </w:r>
      <w:r>
        <w:rPr>
          <w:rFonts w:ascii="Tinos" w:hAnsi="Tinos" w:eastAsia="Tinos" w:cs="Tinos"/>
          <w:i/>
          <w:iCs/>
          <w:color w:val="000000"/>
          <w:sz w:val="28"/>
          <w:szCs w:val="28"/>
          <w:highlight w:val="white"/>
        </w:rPr>
        <w:t xml:space="preserve">кадастровым инженером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», - рассказала руководитель регионального Росреестра Лариса Вопиловская.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shd w:val="clear" w:color="ffffff" w:fill="ffffff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Кроме того, предлагается установить упрощенный порядок внесения в ЕГРН отдельных сведений, необходимых для государственной кадастровой оценки зданий и сооружений. Речь идет о таких данных, как год ввода в эксплуатацию/завершения строительства и материал на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ружных стен.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eastAsia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Законопроект снимает лишнюю нагрузку с собственника - внести в ЕГРН такие сведения можно будет по его заявлению без подготовки технического плана. Также Росреестр будет делать это самостоятельно на основании документов от бюджетных учреждений в регионах, к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оторые наделены полномочиями по определению кадастровой стоимости.</w:t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709"/>
        <w:jc w:val="right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  <w:highlight w:val="none"/>
        </w:rPr>
        <w:t xml:space="preserve">Материал подготовлен Управлением Росреестра по Республике Алтай</w:t>
      </w:r>
      <w:r>
        <w:rPr>
          <w:rFonts w:ascii="Tinos" w:hAnsi="Tinos" w:eastAsia="Tinos" w:cs="Tinos"/>
          <w:sz w:val="28"/>
          <w:szCs w:val="28"/>
          <w:highlight w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5">
    <w:name w:val="Heading 1"/>
    <w:basedOn w:val="619"/>
    <w:next w:val="619"/>
    <w:link w:val="1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6">
    <w:name w:val="Heading 1 Char"/>
    <w:basedOn w:val="13"/>
    <w:link w:val="1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7">
    <w:name w:val="Heading 2"/>
    <w:basedOn w:val="619"/>
    <w:next w:val="619"/>
    <w:link w:val="1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8">
    <w:name w:val="Heading 2 Char"/>
    <w:basedOn w:val="13"/>
    <w:link w:val="17"/>
    <w:uiPriority w:val="9"/>
    <w:rPr>
      <w:rFonts w:ascii="Liberation Sans" w:hAnsi="Liberation Sans" w:eastAsia="Liberation Sans" w:cs="Liberation Sans"/>
      <w:sz w:val="34"/>
    </w:rPr>
  </w:style>
  <w:style w:type="paragraph" w:styleId="19">
    <w:name w:val="Heading 3"/>
    <w:basedOn w:val="619"/>
    <w:next w:val="619"/>
    <w:link w:val="2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20">
    <w:name w:val="Heading 3 Char"/>
    <w:basedOn w:val="13"/>
    <w:link w:val="1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1">
    <w:name w:val="Heading 4"/>
    <w:basedOn w:val="619"/>
    <w:next w:val="619"/>
    <w:link w:val="2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2">
    <w:name w:val="Heading 4 Char"/>
    <w:basedOn w:val="13"/>
    <w:link w:val="2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3">
    <w:name w:val="Heading 5"/>
    <w:basedOn w:val="619"/>
    <w:next w:val="619"/>
    <w:link w:val="2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4">
    <w:name w:val="Heading 5 Char"/>
    <w:basedOn w:val="13"/>
    <w:link w:val="2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5">
    <w:name w:val="Heading 6"/>
    <w:basedOn w:val="619"/>
    <w:next w:val="619"/>
    <w:link w:val="2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6">
    <w:name w:val="Heading 6 Char"/>
    <w:basedOn w:val="13"/>
    <w:link w:val="2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7">
    <w:name w:val="Heading 7"/>
    <w:basedOn w:val="619"/>
    <w:next w:val="619"/>
    <w:link w:val="2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8">
    <w:name w:val="Heading 7 Char"/>
    <w:basedOn w:val="13"/>
    <w:link w:val="2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9">
    <w:name w:val="Heading 8"/>
    <w:basedOn w:val="619"/>
    <w:next w:val="619"/>
    <w:link w:val="3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0">
    <w:name w:val="Heading 8 Char"/>
    <w:basedOn w:val="13"/>
    <w:link w:val="2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1">
    <w:name w:val="Heading 9"/>
    <w:basedOn w:val="619"/>
    <w:next w:val="619"/>
    <w:link w:val="3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2">
    <w:name w:val="Heading 9 Char"/>
    <w:basedOn w:val="13"/>
    <w:link w:val="3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6">
    <w:name w:val="Title"/>
    <w:basedOn w:val="619"/>
    <w:next w:val="619"/>
    <w:link w:val="3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7">
    <w:name w:val="Title Char"/>
    <w:basedOn w:val="13"/>
    <w:link w:val="36"/>
    <w:uiPriority w:val="10"/>
    <w:rPr>
      <w:sz w:val="48"/>
      <w:szCs w:val="48"/>
    </w:rPr>
  </w:style>
  <w:style w:type="paragraph" w:styleId="38">
    <w:name w:val="Subtitle"/>
    <w:basedOn w:val="619"/>
    <w:next w:val="619"/>
    <w:link w:val="39"/>
    <w:uiPriority w:val="11"/>
    <w:qFormat/>
    <w:pPr>
      <w:spacing w:before="200" w:after="200"/>
    </w:pPr>
    <w:rPr>
      <w:sz w:val="24"/>
      <w:szCs w:val="24"/>
    </w:rPr>
  </w:style>
  <w:style w:type="character" w:styleId="39">
    <w:name w:val="Subtitle Char"/>
    <w:basedOn w:val="13"/>
    <w:link w:val="38"/>
    <w:uiPriority w:val="11"/>
    <w:rPr>
      <w:sz w:val="24"/>
      <w:szCs w:val="24"/>
    </w:rPr>
  </w:style>
  <w:style w:type="paragraph" w:styleId="40">
    <w:name w:val="Quote"/>
    <w:basedOn w:val="619"/>
    <w:next w:val="619"/>
    <w:link w:val="41"/>
    <w:uiPriority w:val="29"/>
    <w:qFormat/>
    <w:pPr>
      <w:ind w:left="720" w:right="720"/>
    </w:pPr>
    <w:rPr>
      <w:i/>
    </w:rPr>
  </w:style>
  <w:style w:type="character" w:styleId="41">
    <w:name w:val="Quote Char"/>
    <w:link w:val="40"/>
    <w:uiPriority w:val="29"/>
    <w:rPr>
      <w:i/>
    </w:rPr>
  </w:style>
  <w:style w:type="paragraph" w:styleId="42">
    <w:name w:val="Intense Quote"/>
    <w:basedOn w:val="619"/>
    <w:next w:val="619"/>
    <w:link w:val="4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3">
    <w:name w:val="Intense Quote Char"/>
    <w:link w:val="42"/>
    <w:uiPriority w:val="30"/>
    <w:rPr>
      <w:i/>
    </w:rPr>
  </w:style>
  <w:style w:type="paragraph" w:styleId="44">
    <w:name w:val="Header"/>
    <w:basedOn w:val="619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Header Char"/>
    <w:basedOn w:val="13"/>
    <w:link w:val="44"/>
    <w:uiPriority w:val="99"/>
  </w:style>
  <w:style w:type="paragraph" w:styleId="46">
    <w:name w:val="Footer"/>
    <w:basedOn w:val="619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7">
    <w:name w:val="Footer Char"/>
    <w:basedOn w:val="13"/>
    <w:link w:val="46"/>
    <w:uiPriority w:val="99"/>
  </w:style>
  <w:style w:type="paragraph" w:styleId="48">
    <w:name w:val="Caption"/>
    <w:basedOn w:val="619"/>
    <w:next w:val="619"/>
    <w:link w:val="4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9">
    <w:name w:val="Caption Char"/>
    <w:basedOn w:val="13"/>
    <w:link w:val="48"/>
    <w:uiPriority w:val="35"/>
    <w:rPr>
      <w:b/>
      <w:bCs/>
      <w:color w:val="4f81bd" w:themeColor="accent1"/>
      <w:sz w:val="18"/>
      <w:szCs w:val="18"/>
    </w:rPr>
  </w:style>
  <w:style w:type="table" w:styleId="50">
    <w:name w:val="Table Grid"/>
    <w:basedOn w:val="62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Table Grid Light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2">
    <w:name w:val="Plain Table 1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2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4">
    <w:name w:val="Plain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5">
    <w:name w:val="Plain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Plain Table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7">
    <w:name w:val="Grid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4">
    <w:name w:val="Grid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">
    <w:name w:val="Grid Table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">
    <w:name w:val="Grid Table 4 - Accent 1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0">
    <w:name w:val="Grid Table 4 - Accent 2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1">
    <w:name w:val="Grid Table 4 - Accent 3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2">
    <w:name w:val="Grid Table 4 - Accent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3">
    <w:name w:val="Grid Table 4 - Accent 5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">
    <w:name w:val="Grid Table 4 - Accent 6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5">
    <w:name w:val="Grid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6">
    <w:name w:val="Grid Table 5 Dark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9">
    <w:name w:val="Grid Table 5 Dark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1">
    <w:name w:val="Grid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2">
    <w:name w:val="Grid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3">
    <w:name w:val="Grid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4">
    <w:name w:val="Grid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5">
    <w:name w:val="Grid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6">
    <w:name w:val="Grid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7">
    <w:name w:val="Grid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9">
    <w:name w:val="Grid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5">
    <w:name w:val="Grid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6">
    <w:name w:val="List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">
    <w:name w:val="List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4">
    <w:name w:val="List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5">
    <w:name w:val="List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6">
    <w:name w:val="List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7">
    <w:name w:val="List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8">
    <w:name w:val="List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9">
    <w:name w:val="List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20">
    <w:name w:val="List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4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4">
    <w:name w:val="List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1">
    <w:name w:val="List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2">
    <w:name w:val="List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3">
    <w:name w:val="List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4">
    <w:name w:val="List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5">
    <w:name w:val="List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6">
    <w:name w:val="List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7">
    <w:name w:val="List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8">
    <w:name w:val="List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9">
    <w:name w:val="List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50">
    <w:name w:val="List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1">
    <w:name w:val="List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2">
    <w:name w:val="List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3">
    <w:name w:val="List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4">
    <w:name w:val="List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5">
    <w:name w:val="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6">
    <w:name w:val="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7">
    <w:name w:val="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8">
    <w:name w:val="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9">
    <w:name w:val="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0">
    <w:name w:val="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1">
    <w:name w:val="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2">
    <w:name w:val="Bordered &amp; 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3">
    <w:name w:val="Bordered &amp; 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4">
    <w:name w:val="Bordered &amp; 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5">
    <w:name w:val="Bordered &amp; 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6">
    <w:name w:val="Bordered &amp; 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7">
    <w:name w:val="Bordered &amp; 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8">
    <w:name w:val="Bordered &amp; 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9">
    <w:name w:val="Bordered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70">
    <w:name w:val="Bordered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1">
    <w:name w:val="Bordered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2">
    <w:name w:val="Bordered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3">
    <w:name w:val="Bordered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4">
    <w:name w:val="Bordered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5">
    <w:name w:val="Bordered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6">
    <w:name w:val="Hyperlink"/>
    <w:uiPriority w:val="99"/>
    <w:unhideWhenUsed/>
    <w:rPr>
      <w:color w:val="0000ff" w:themeColor="hyperlink"/>
      <w:u w:val="single"/>
    </w:rPr>
  </w:style>
  <w:style w:type="paragraph" w:styleId="177">
    <w:name w:val="footnote text"/>
    <w:basedOn w:val="619"/>
    <w:link w:val="178"/>
    <w:uiPriority w:val="99"/>
    <w:semiHidden/>
    <w:unhideWhenUsed/>
    <w:pPr>
      <w:spacing w:after="40" w:line="240" w:lineRule="auto"/>
    </w:pPr>
    <w:rPr>
      <w:sz w:val="18"/>
    </w:rPr>
  </w:style>
  <w:style w:type="character" w:styleId="178">
    <w:name w:val="Footnote Text Char"/>
    <w:link w:val="177"/>
    <w:uiPriority w:val="99"/>
    <w:rPr>
      <w:sz w:val="18"/>
    </w:rPr>
  </w:style>
  <w:style w:type="character" w:styleId="179">
    <w:name w:val="footnote reference"/>
    <w:basedOn w:val="13"/>
    <w:uiPriority w:val="99"/>
    <w:unhideWhenUsed/>
    <w:rPr>
      <w:vertAlign w:val="superscript"/>
    </w:rPr>
  </w:style>
  <w:style w:type="paragraph" w:styleId="180">
    <w:name w:val="endnote text"/>
    <w:basedOn w:val="619"/>
    <w:link w:val="181"/>
    <w:uiPriority w:val="99"/>
    <w:semiHidden/>
    <w:unhideWhenUsed/>
    <w:pPr>
      <w:spacing w:after="0" w:line="240" w:lineRule="auto"/>
    </w:pPr>
    <w:rPr>
      <w:sz w:val="20"/>
    </w:rPr>
  </w:style>
  <w:style w:type="character" w:styleId="181">
    <w:name w:val="Endnote Text Char"/>
    <w:link w:val="180"/>
    <w:uiPriority w:val="99"/>
    <w:rPr>
      <w:sz w:val="20"/>
    </w:rPr>
  </w:style>
  <w:style w:type="character" w:styleId="182">
    <w:name w:val="endnote reference"/>
    <w:basedOn w:val="13"/>
    <w:uiPriority w:val="99"/>
    <w:semiHidden/>
    <w:unhideWhenUsed/>
    <w:rPr>
      <w:vertAlign w:val="superscript"/>
    </w:rPr>
  </w:style>
  <w:style w:type="paragraph" w:styleId="183">
    <w:name w:val="toc 1"/>
    <w:basedOn w:val="619"/>
    <w:next w:val="619"/>
    <w:uiPriority w:val="39"/>
    <w:unhideWhenUsed/>
    <w:pPr>
      <w:ind w:left="0" w:right="0" w:firstLine="0"/>
      <w:spacing w:after="57"/>
    </w:pPr>
  </w:style>
  <w:style w:type="paragraph" w:styleId="184">
    <w:name w:val="toc 2"/>
    <w:basedOn w:val="619"/>
    <w:next w:val="619"/>
    <w:uiPriority w:val="39"/>
    <w:unhideWhenUsed/>
    <w:pPr>
      <w:ind w:left="283" w:right="0" w:firstLine="0"/>
      <w:spacing w:after="57"/>
    </w:pPr>
  </w:style>
  <w:style w:type="paragraph" w:styleId="185">
    <w:name w:val="toc 3"/>
    <w:basedOn w:val="619"/>
    <w:next w:val="619"/>
    <w:uiPriority w:val="39"/>
    <w:unhideWhenUsed/>
    <w:pPr>
      <w:ind w:left="567" w:right="0" w:firstLine="0"/>
      <w:spacing w:after="57"/>
    </w:pPr>
  </w:style>
  <w:style w:type="paragraph" w:styleId="186">
    <w:name w:val="toc 4"/>
    <w:basedOn w:val="619"/>
    <w:next w:val="619"/>
    <w:uiPriority w:val="39"/>
    <w:unhideWhenUsed/>
    <w:pPr>
      <w:ind w:left="850" w:right="0" w:firstLine="0"/>
      <w:spacing w:after="57"/>
    </w:pPr>
  </w:style>
  <w:style w:type="paragraph" w:styleId="187">
    <w:name w:val="toc 5"/>
    <w:basedOn w:val="619"/>
    <w:next w:val="619"/>
    <w:uiPriority w:val="39"/>
    <w:unhideWhenUsed/>
    <w:pPr>
      <w:ind w:left="1134" w:right="0" w:firstLine="0"/>
      <w:spacing w:after="57"/>
    </w:pPr>
  </w:style>
  <w:style w:type="paragraph" w:styleId="188">
    <w:name w:val="toc 6"/>
    <w:basedOn w:val="619"/>
    <w:next w:val="619"/>
    <w:uiPriority w:val="39"/>
    <w:unhideWhenUsed/>
    <w:pPr>
      <w:ind w:left="1417" w:right="0" w:firstLine="0"/>
      <w:spacing w:after="57"/>
    </w:pPr>
  </w:style>
  <w:style w:type="paragraph" w:styleId="189">
    <w:name w:val="toc 7"/>
    <w:basedOn w:val="619"/>
    <w:next w:val="619"/>
    <w:uiPriority w:val="39"/>
    <w:unhideWhenUsed/>
    <w:pPr>
      <w:ind w:left="1701" w:right="0" w:firstLine="0"/>
      <w:spacing w:after="57"/>
    </w:pPr>
  </w:style>
  <w:style w:type="paragraph" w:styleId="190">
    <w:name w:val="toc 8"/>
    <w:basedOn w:val="619"/>
    <w:next w:val="619"/>
    <w:uiPriority w:val="39"/>
    <w:unhideWhenUsed/>
    <w:pPr>
      <w:ind w:left="1984" w:right="0" w:firstLine="0"/>
      <w:spacing w:after="57"/>
    </w:pPr>
  </w:style>
  <w:style w:type="paragraph" w:styleId="191">
    <w:name w:val="toc 9"/>
    <w:basedOn w:val="619"/>
    <w:next w:val="619"/>
    <w:uiPriority w:val="39"/>
    <w:unhideWhenUsed/>
    <w:pPr>
      <w:ind w:left="2268" w:right="0" w:firstLine="0"/>
      <w:spacing w:after="57"/>
    </w:pPr>
  </w:style>
  <w:style w:type="paragraph" w:styleId="192">
    <w:name w:val="TOC Heading"/>
    <w:uiPriority w:val="39"/>
    <w:unhideWhenUsed/>
  </w:style>
  <w:style w:type="paragraph" w:styleId="193">
    <w:name w:val="table of figures"/>
    <w:basedOn w:val="619"/>
    <w:next w:val="619"/>
    <w:uiPriority w:val="99"/>
    <w:unhideWhenUsed/>
    <w:pPr>
      <w:spacing w:after="0" w:afterAutospacing="0"/>
    </w:pPr>
  </w:style>
  <w:style w:type="paragraph" w:styleId="619" w:default="1">
    <w:name w:val="Normal"/>
    <w:qFormat/>
  </w:style>
  <w:style w:type="table" w:styleId="62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1" w:default="1">
    <w:name w:val="No List"/>
    <w:uiPriority w:val="99"/>
    <w:semiHidden/>
    <w:unhideWhenUsed/>
  </w:style>
  <w:style w:type="paragraph" w:styleId="622">
    <w:name w:val="No Spacing"/>
    <w:basedOn w:val="619"/>
    <w:uiPriority w:val="1"/>
    <w:qFormat/>
    <w:pPr>
      <w:spacing w:after="0" w:line="240" w:lineRule="auto"/>
    </w:pPr>
  </w:style>
  <w:style w:type="paragraph" w:styleId="623">
    <w:name w:val="List Paragraph"/>
    <w:basedOn w:val="619"/>
    <w:uiPriority w:val="34"/>
    <w:qFormat/>
    <w:pPr>
      <w:contextualSpacing/>
      <w:ind w:left="720"/>
    </w:pPr>
  </w:style>
  <w:style w:type="character" w:styleId="628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napalkova</cp:lastModifiedBy>
  <cp:revision>1</cp:revision>
  <dcterms:modified xsi:type="dcterms:W3CDTF">2026-10-09T05:39:19Z</dcterms:modified>
</cp:coreProperties>
</file>